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ABE94" w14:textId="1B58093E" w:rsidR="00944C67" w:rsidRPr="001A14A4" w:rsidRDefault="00097834" w:rsidP="00097834">
      <w:pPr>
        <w:spacing w:after="0" w:line="240" w:lineRule="auto"/>
        <w:jc w:val="center"/>
        <w:rPr>
          <w:b/>
          <w:color w:val="000000"/>
          <w:sz w:val="24"/>
        </w:rPr>
      </w:pPr>
      <w:r w:rsidRPr="001A14A4">
        <w:rPr>
          <w:b/>
          <w:color w:val="000000"/>
          <w:sz w:val="24"/>
        </w:rPr>
        <w:t>ΑΝΑΚΟΙΝΩΣΗ</w:t>
      </w:r>
    </w:p>
    <w:p w14:paraId="1B674028" w14:textId="77777777" w:rsidR="00097834" w:rsidRPr="001A14A4" w:rsidRDefault="00097834" w:rsidP="00097834">
      <w:pPr>
        <w:spacing w:after="0" w:line="240" w:lineRule="auto"/>
        <w:jc w:val="center"/>
        <w:rPr>
          <w:b/>
          <w:color w:val="000000"/>
          <w:sz w:val="24"/>
        </w:rPr>
      </w:pPr>
    </w:p>
    <w:p w14:paraId="2E122817" w14:textId="4D24A48F" w:rsidR="00135A52" w:rsidRPr="001A14A4" w:rsidRDefault="00135A52" w:rsidP="00516026">
      <w:pPr>
        <w:snapToGrid w:val="0"/>
        <w:spacing w:after="0"/>
        <w:jc w:val="both"/>
      </w:pPr>
      <w:r w:rsidRPr="001A14A4">
        <w:t xml:space="preserve">Το Δημοκρίτειο Πανεπιστήμιο Θράκης ενδιαφέρεται έμπρακτα και μεριμνά για την όσο το δυνατόν καλύτερη κάλυψη των αναγκών των φοιτητών/τριών του σε όλους τους τομείς της φοιτητικής ζωής με βάση τους διαθέσιμους πόρους. </w:t>
      </w:r>
    </w:p>
    <w:p w14:paraId="2F86FFC2" w14:textId="77777777" w:rsidR="00B63296" w:rsidRPr="00B63296" w:rsidRDefault="00B63296" w:rsidP="00B63296">
      <w:pPr>
        <w:snapToGrid w:val="0"/>
        <w:spacing w:after="0"/>
        <w:jc w:val="both"/>
        <w:rPr>
          <w:b/>
          <w:sz w:val="12"/>
          <w:szCs w:val="12"/>
        </w:rPr>
      </w:pPr>
    </w:p>
    <w:p w14:paraId="371A7EEB" w14:textId="3838179A" w:rsidR="00084CC8" w:rsidRPr="001A14A4" w:rsidRDefault="00084CC8" w:rsidP="00516026">
      <w:pPr>
        <w:snapToGrid w:val="0"/>
        <w:spacing w:after="0"/>
        <w:jc w:val="both"/>
      </w:pPr>
      <w:r w:rsidRPr="001A14A4">
        <w:t>Το προηγούμενο διάστημα από τους συλλόγους:</w:t>
      </w:r>
    </w:p>
    <w:p w14:paraId="18E2F2C0" w14:textId="5F2AE8EE" w:rsidR="00084CC8" w:rsidRPr="001A14A4" w:rsidRDefault="00084CC8" w:rsidP="00516026">
      <w:pPr>
        <w:snapToGrid w:val="0"/>
        <w:spacing w:after="0"/>
        <w:jc w:val="both"/>
      </w:pPr>
      <w:r w:rsidRPr="001A14A4">
        <w:t xml:space="preserve">α) </w:t>
      </w:r>
      <w:r w:rsidR="001460A2">
        <w:rPr>
          <w:rFonts w:cstheme="minorHAnsi"/>
        </w:rPr>
        <w:t>Φ</w:t>
      </w:r>
      <w:r w:rsidR="00097834" w:rsidRPr="00097834">
        <w:rPr>
          <w:rFonts w:cstheme="minorHAnsi"/>
        </w:rPr>
        <w:t>οιτητών</w:t>
      </w:r>
      <w:r w:rsidR="00097834" w:rsidRPr="001A14A4">
        <w:t xml:space="preserve"> Ξάνθης</w:t>
      </w:r>
      <w:r w:rsidR="000B0F8C">
        <w:t>,</w:t>
      </w:r>
    </w:p>
    <w:p w14:paraId="2C824C3E" w14:textId="0C36D7C4" w:rsidR="00084CC8" w:rsidRPr="001A14A4" w:rsidRDefault="00084CC8" w:rsidP="00516026">
      <w:pPr>
        <w:snapToGrid w:val="0"/>
        <w:spacing w:after="0"/>
        <w:jc w:val="both"/>
      </w:pPr>
      <w:r w:rsidRPr="001A14A4">
        <w:t>β</w:t>
      </w:r>
      <w:r w:rsidR="00097834" w:rsidRPr="001A14A4">
        <w:t xml:space="preserve">) </w:t>
      </w:r>
      <w:proofErr w:type="spellStart"/>
      <w:r w:rsidR="001460A2">
        <w:rPr>
          <w:rFonts w:cstheme="minorHAnsi"/>
        </w:rPr>
        <w:t>Ο</w:t>
      </w:r>
      <w:r w:rsidR="00097834" w:rsidRPr="00097834">
        <w:rPr>
          <w:rFonts w:cstheme="minorHAnsi"/>
        </w:rPr>
        <w:t>ικοτρόφων</w:t>
      </w:r>
      <w:proofErr w:type="spellEnd"/>
      <w:r w:rsidR="00097834" w:rsidRPr="001A14A4">
        <w:t xml:space="preserve"> φοιτητών Ξάνθης</w:t>
      </w:r>
      <w:r w:rsidR="000B0F8C">
        <w:t>,</w:t>
      </w:r>
    </w:p>
    <w:p w14:paraId="4AC79DB3" w14:textId="2F0043DC" w:rsidR="00084CC8" w:rsidRPr="00B63296" w:rsidRDefault="00084CC8" w:rsidP="00516026">
      <w:pPr>
        <w:snapToGrid w:val="0"/>
        <w:spacing w:after="0"/>
        <w:jc w:val="both"/>
      </w:pPr>
      <w:r w:rsidRPr="001A14A4">
        <w:t>γ)</w:t>
      </w:r>
      <w:r w:rsidR="00097834" w:rsidRPr="001A14A4">
        <w:t xml:space="preserve"> </w:t>
      </w:r>
      <w:r w:rsidR="001460A2">
        <w:rPr>
          <w:rFonts w:cstheme="minorHAnsi"/>
        </w:rPr>
        <w:t>Φ</w:t>
      </w:r>
      <w:r w:rsidR="00097834" w:rsidRPr="00097834">
        <w:rPr>
          <w:rFonts w:cstheme="minorHAnsi"/>
        </w:rPr>
        <w:t xml:space="preserve">οιτητών του ΠΤΔΕ </w:t>
      </w:r>
      <w:proofErr w:type="spellStart"/>
      <w:r w:rsidR="00097834" w:rsidRPr="001A14A4">
        <w:t>Δημ</w:t>
      </w:r>
      <w:proofErr w:type="spellEnd"/>
      <w:r w:rsidR="00097834" w:rsidRPr="001A14A4">
        <w:t>. Γληνός</w:t>
      </w:r>
      <w:r w:rsidR="000B0F8C">
        <w:t>,</w:t>
      </w:r>
    </w:p>
    <w:p w14:paraId="1B1F7230" w14:textId="58EEE097" w:rsidR="00084CC8" w:rsidRPr="001A14A4" w:rsidRDefault="00084CC8" w:rsidP="00516026">
      <w:pPr>
        <w:snapToGrid w:val="0"/>
        <w:spacing w:after="0"/>
        <w:jc w:val="both"/>
      </w:pPr>
      <w:r w:rsidRPr="001A14A4">
        <w:t>δ)</w:t>
      </w:r>
      <w:r w:rsidR="00097834" w:rsidRPr="001A14A4">
        <w:t xml:space="preserve"> </w:t>
      </w:r>
      <w:r w:rsidR="001460A2">
        <w:rPr>
          <w:rFonts w:cstheme="minorHAnsi"/>
        </w:rPr>
        <w:t>Φ</w:t>
      </w:r>
      <w:r w:rsidR="00097834" w:rsidRPr="00097834">
        <w:rPr>
          <w:rFonts w:cstheme="minorHAnsi"/>
        </w:rPr>
        <w:t>οιτητών</w:t>
      </w:r>
      <w:r w:rsidR="00097834" w:rsidRPr="001A14A4">
        <w:t xml:space="preserve"> </w:t>
      </w:r>
      <w:r w:rsidR="000B0F8C">
        <w:t xml:space="preserve">του Τμήματος </w:t>
      </w:r>
      <w:r w:rsidR="00097834" w:rsidRPr="001A14A4">
        <w:t xml:space="preserve">Κοινωνικής </w:t>
      </w:r>
      <w:r w:rsidR="001460A2" w:rsidRPr="001A14A4">
        <w:t>Ε</w:t>
      </w:r>
      <w:r w:rsidR="00097834" w:rsidRPr="001A14A4">
        <w:t>ργασίας</w:t>
      </w:r>
    </w:p>
    <w:p w14:paraId="652FD440" w14:textId="343A5C50" w:rsidR="00097834" w:rsidRPr="00097834" w:rsidRDefault="00C06CEB" w:rsidP="00516026">
      <w:pPr>
        <w:snapToGrid w:val="0"/>
        <w:spacing w:after="0"/>
        <w:jc w:val="both"/>
        <w:rPr>
          <w:rFonts w:cstheme="minorHAnsi"/>
        </w:rPr>
      </w:pPr>
      <w:r w:rsidRPr="001A14A4">
        <w:t xml:space="preserve">τέθηκε </w:t>
      </w:r>
      <w:r w:rsidR="00097834" w:rsidRPr="001A14A4">
        <w:t>μια σειρά θεμάτων</w:t>
      </w:r>
      <w:r w:rsidR="00135A52" w:rsidRPr="001A14A4">
        <w:t xml:space="preserve"> που αφορούν </w:t>
      </w:r>
      <w:r w:rsidRPr="001A14A4">
        <w:t xml:space="preserve">τη </w:t>
      </w:r>
      <w:r w:rsidR="00135A52" w:rsidRPr="001A14A4">
        <w:t>φοιτητική μέριμνα</w:t>
      </w:r>
      <w:r w:rsidR="002B5D3D">
        <w:rPr>
          <w:rFonts w:cstheme="minorHAnsi"/>
        </w:rPr>
        <w:t>,</w:t>
      </w:r>
      <w:r w:rsidR="00097834" w:rsidRPr="001A14A4">
        <w:t xml:space="preserve"> τα οποία αποσαφηνίζονται παρακάτω:</w:t>
      </w:r>
    </w:p>
    <w:p w14:paraId="4FA2B1AC" w14:textId="77777777" w:rsidR="00B63296" w:rsidRPr="00B63296" w:rsidRDefault="00B63296" w:rsidP="00B63296">
      <w:pPr>
        <w:snapToGrid w:val="0"/>
        <w:spacing w:after="0"/>
        <w:jc w:val="both"/>
        <w:rPr>
          <w:b/>
          <w:sz w:val="12"/>
          <w:szCs w:val="12"/>
        </w:rPr>
      </w:pPr>
    </w:p>
    <w:p w14:paraId="1B5312FA" w14:textId="2FF19A04" w:rsidR="00084CC8" w:rsidRPr="001A14A4" w:rsidRDefault="00097834" w:rsidP="00516026">
      <w:pPr>
        <w:snapToGrid w:val="0"/>
        <w:spacing w:after="0"/>
        <w:jc w:val="both"/>
        <w:rPr>
          <w:b/>
        </w:rPr>
      </w:pPr>
      <w:r w:rsidRPr="001A14A4">
        <w:rPr>
          <w:b/>
        </w:rPr>
        <w:t>1.</w:t>
      </w:r>
      <w:r w:rsidR="00084CC8" w:rsidRPr="001A14A4">
        <w:rPr>
          <w:b/>
        </w:rPr>
        <w:t xml:space="preserve"> </w:t>
      </w:r>
      <w:r w:rsidR="00385E41" w:rsidRPr="001A14A4">
        <w:rPr>
          <w:b/>
        </w:rPr>
        <w:t>Ε</w:t>
      </w:r>
      <w:r w:rsidR="00084CC8" w:rsidRPr="001A14A4">
        <w:rPr>
          <w:b/>
        </w:rPr>
        <w:t xml:space="preserve">ισδοχή των πρωτοετών </w:t>
      </w:r>
      <w:r w:rsidR="00385E41" w:rsidRPr="001A14A4">
        <w:rPr>
          <w:b/>
        </w:rPr>
        <w:t xml:space="preserve">φοιτητών/τριών </w:t>
      </w:r>
      <w:r w:rsidR="00084CC8" w:rsidRPr="001A14A4">
        <w:rPr>
          <w:b/>
        </w:rPr>
        <w:t>στις εστίες</w:t>
      </w:r>
      <w:r w:rsidR="00385E41" w:rsidRPr="001A14A4">
        <w:rPr>
          <w:b/>
        </w:rPr>
        <w:t xml:space="preserve"> Κομοτηνής και Ξάνθης</w:t>
      </w:r>
    </w:p>
    <w:p w14:paraId="4A389282" w14:textId="429CE2E2" w:rsidR="00084CC8" w:rsidRPr="001A14A4" w:rsidRDefault="0056647D" w:rsidP="00516026">
      <w:pPr>
        <w:snapToGrid w:val="0"/>
        <w:spacing w:after="0"/>
        <w:jc w:val="both"/>
      </w:pPr>
      <w:r w:rsidRPr="001A14A4">
        <w:t xml:space="preserve">Η </w:t>
      </w:r>
      <w:r w:rsidR="00084CC8" w:rsidRPr="001A14A4">
        <w:t>διανομή δωματίων στους/στις πρωτοετείς φοιτητές/</w:t>
      </w:r>
      <w:proofErr w:type="spellStart"/>
      <w:r w:rsidR="00084CC8" w:rsidRPr="001A14A4">
        <w:t>τριες</w:t>
      </w:r>
      <w:proofErr w:type="spellEnd"/>
      <w:r w:rsidR="00084CC8" w:rsidRPr="001A14A4">
        <w:t xml:space="preserve"> </w:t>
      </w:r>
      <w:r w:rsidRPr="001A14A4">
        <w:t>πραγματοποιείται</w:t>
      </w:r>
      <w:r w:rsidR="00084CC8" w:rsidRPr="001A14A4">
        <w:t xml:space="preserve"> μετά </w:t>
      </w:r>
      <w:r w:rsidRPr="001A14A4">
        <w:t>την υποβολή και αξιολόγηση των αιτήσεων στέγασης βάσει των κριτηρίων που προβλέπονται από τη νομοθεσία</w:t>
      </w:r>
      <w:r w:rsidR="00084CC8" w:rsidRPr="00097834">
        <w:rPr>
          <w:rFonts w:cstheme="minorHAnsi"/>
        </w:rPr>
        <w:t>.</w:t>
      </w:r>
      <w:r w:rsidR="00084CC8" w:rsidRPr="001A14A4">
        <w:t xml:space="preserve"> </w:t>
      </w:r>
      <w:r w:rsidR="00B76A30" w:rsidRPr="001A14A4">
        <w:t>Προϋπόθεση για την υποβολή αίτησης αποτελεί η ολοκλήρωση της εγγραφής στο ΔΠΘ</w:t>
      </w:r>
      <w:r w:rsidR="00516026" w:rsidRPr="001A14A4">
        <w:t xml:space="preserve"> η οποία εξασφαλίζει </w:t>
      </w:r>
      <w:r w:rsidR="000B0F8C">
        <w:t>στους/στις</w:t>
      </w:r>
      <w:r w:rsidR="00516026" w:rsidRPr="001A14A4">
        <w:t xml:space="preserve"> νέους/</w:t>
      </w:r>
      <w:proofErr w:type="spellStart"/>
      <w:r w:rsidR="00516026" w:rsidRPr="001A14A4">
        <w:t>ες</w:t>
      </w:r>
      <w:proofErr w:type="spellEnd"/>
      <w:r w:rsidR="00516026" w:rsidRPr="001A14A4">
        <w:t xml:space="preserve"> φοιτητές/</w:t>
      </w:r>
      <w:proofErr w:type="spellStart"/>
      <w:r w:rsidR="00516026" w:rsidRPr="001A14A4">
        <w:t>τριες</w:t>
      </w:r>
      <w:proofErr w:type="spellEnd"/>
      <w:r w:rsidR="00516026" w:rsidRPr="001A14A4">
        <w:t xml:space="preserve"> πρόσβαση σε όλες τις υπηρεσίες του ΔΠΘ</w:t>
      </w:r>
      <w:r w:rsidR="00B76A30" w:rsidRPr="001A14A4">
        <w:t xml:space="preserve"> </w:t>
      </w:r>
      <w:r w:rsidR="00516026" w:rsidRPr="001A14A4">
        <w:t xml:space="preserve">και πραγματοποιείται </w:t>
      </w:r>
      <w:r w:rsidR="00B76A30" w:rsidRPr="001A14A4">
        <w:t>μετά</w:t>
      </w:r>
      <w:r w:rsidR="00B76A30" w:rsidRPr="00097834">
        <w:rPr>
          <w:rFonts w:cstheme="minorHAnsi"/>
        </w:rPr>
        <w:t xml:space="preserve"> </w:t>
      </w:r>
      <w:r w:rsidR="00B76A30" w:rsidRPr="001A14A4">
        <w:t xml:space="preserve"> την αποστολή των </w:t>
      </w:r>
      <w:r w:rsidR="00516026" w:rsidRPr="001A14A4">
        <w:t xml:space="preserve">πινάκων με τις ηλεκτρονικές εγγραφές </w:t>
      </w:r>
      <w:r w:rsidR="00B76A30" w:rsidRPr="001A14A4">
        <w:t xml:space="preserve">από το ΥΠΑΙΘΑ. </w:t>
      </w:r>
    </w:p>
    <w:p w14:paraId="77595566" w14:textId="221AFBF9" w:rsidR="00084CC8" w:rsidRPr="001A14A4" w:rsidRDefault="0056647D" w:rsidP="00516026">
      <w:pPr>
        <w:snapToGrid w:val="0"/>
        <w:spacing w:after="0"/>
        <w:jc w:val="both"/>
      </w:pPr>
      <w:r w:rsidRPr="001A14A4">
        <w:rPr>
          <w:lang w:val="en-GB"/>
        </w:rPr>
        <w:t>T</w:t>
      </w:r>
      <w:r w:rsidRPr="001A14A4">
        <w:t xml:space="preserve">ο τρέχον εξάμηνο, λόγω των έκτακτων και απρόβλεπτων συνθηκών που </w:t>
      </w:r>
      <w:r w:rsidRPr="00097834">
        <w:rPr>
          <w:rFonts w:cstheme="minorHAnsi"/>
        </w:rPr>
        <w:t>πλήττουν</w:t>
      </w:r>
      <w:r w:rsidRPr="001A14A4">
        <w:t xml:space="preserve"> τη χώρα μας, </w:t>
      </w:r>
      <w:r w:rsidR="00B76A30" w:rsidRPr="001A14A4">
        <w:t>τ</w:t>
      </w:r>
      <w:r w:rsidR="00F76C15" w:rsidRPr="001A14A4">
        <w:t>ο ΥΠΑΙΘΑ διαβίβασε</w:t>
      </w:r>
      <w:r w:rsidR="00084CC8" w:rsidRPr="001A14A4">
        <w:t xml:space="preserve"> </w:t>
      </w:r>
      <w:r w:rsidR="00F76C15" w:rsidRPr="001A14A4">
        <w:t>τους</w:t>
      </w:r>
      <w:r w:rsidR="00084CC8" w:rsidRPr="001A14A4">
        <w:t xml:space="preserve"> πίνακες με τις ηλεκτρονικές εγγραφές</w:t>
      </w:r>
      <w:r w:rsidR="00B76A30" w:rsidRPr="001A14A4">
        <w:t xml:space="preserve"> στις 26 Σεπτεμβρίου 2023</w:t>
      </w:r>
      <w:r w:rsidR="00084CC8" w:rsidRPr="001A14A4">
        <w:t>.</w:t>
      </w:r>
      <w:r w:rsidR="00F76C15" w:rsidRPr="001A14A4">
        <w:t xml:space="preserve"> Η</w:t>
      </w:r>
      <w:r w:rsidR="00516026" w:rsidRPr="001A14A4">
        <w:t xml:space="preserve"> ολοκλήρωση της εγγραφής στο ΔΠΘ με την </w:t>
      </w:r>
      <w:proofErr w:type="spellStart"/>
      <w:r w:rsidR="00F76C15" w:rsidRPr="001A14A4">
        <w:t>ε</w:t>
      </w:r>
      <w:r w:rsidR="00084CC8" w:rsidRPr="001A14A4">
        <w:t>πικαιροποίηση</w:t>
      </w:r>
      <w:proofErr w:type="spellEnd"/>
      <w:r w:rsidR="00084CC8" w:rsidRPr="001A14A4">
        <w:t xml:space="preserve"> προσωπικών στοιχείων </w:t>
      </w:r>
      <w:r w:rsidR="00516026" w:rsidRPr="001A14A4">
        <w:t xml:space="preserve">και </w:t>
      </w:r>
      <w:r w:rsidR="00B76A30" w:rsidRPr="001A14A4">
        <w:t>την αποστολή των δικαιολογητικών από τους/τις φοιτητές/</w:t>
      </w:r>
      <w:proofErr w:type="spellStart"/>
      <w:r w:rsidR="00B76A30" w:rsidRPr="001A14A4">
        <w:t>τριες</w:t>
      </w:r>
      <w:proofErr w:type="spellEnd"/>
      <w:r w:rsidR="00B76A30" w:rsidRPr="001A14A4">
        <w:t xml:space="preserve"> ολοκληρώθηκε στις 10 Οκτωβρίου 2023</w:t>
      </w:r>
      <w:r w:rsidR="00F76C15" w:rsidRPr="001A14A4">
        <w:t>. Παράλληλα</w:t>
      </w:r>
      <w:r w:rsidR="00B76A30" w:rsidRPr="001A14A4">
        <w:t>,</w:t>
      </w:r>
      <w:r w:rsidR="00F76C15" w:rsidRPr="001A14A4">
        <w:t xml:space="preserve"> από τις 5 έως και</w:t>
      </w:r>
      <w:r w:rsidR="00B76A30" w:rsidRPr="001A14A4">
        <w:t xml:space="preserve"> τις</w:t>
      </w:r>
      <w:r w:rsidR="00F76C15" w:rsidRPr="001A14A4">
        <w:t xml:space="preserve"> 12 Οκτωβρίου 2023 έγινε η υποβολή αιτήσεων στέγασης</w:t>
      </w:r>
      <w:r w:rsidR="00B76A30" w:rsidRPr="001A14A4">
        <w:t xml:space="preserve"> από υποψήφιους</w:t>
      </w:r>
      <w:r w:rsidR="000B0F8C">
        <w:t>/</w:t>
      </w:r>
      <w:proofErr w:type="spellStart"/>
      <w:r w:rsidR="000B0F8C">
        <w:t>ες</w:t>
      </w:r>
      <w:proofErr w:type="spellEnd"/>
      <w:r w:rsidR="00B76A30" w:rsidRPr="00097834">
        <w:rPr>
          <w:rFonts w:cstheme="minorHAnsi"/>
        </w:rPr>
        <w:t xml:space="preserve"> </w:t>
      </w:r>
      <w:r w:rsidR="000B0F8C" w:rsidRPr="00097834">
        <w:rPr>
          <w:rFonts w:cstheme="minorHAnsi"/>
        </w:rPr>
        <w:t>δικαιούχους</w:t>
      </w:r>
      <w:r w:rsidR="00B76A30" w:rsidRPr="001A14A4">
        <w:t xml:space="preserve"> φοιτητές/</w:t>
      </w:r>
      <w:proofErr w:type="spellStart"/>
      <w:r w:rsidR="00B76A30" w:rsidRPr="001A14A4">
        <w:t>τριες</w:t>
      </w:r>
      <w:proofErr w:type="spellEnd"/>
      <w:r w:rsidR="00F76C15" w:rsidRPr="001A14A4">
        <w:t xml:space="preserve">. Τα αποτελέσματα ανακοινώθηκαν στις </w:t>
      </w:r>
      <w:r w:rsidR="00084CC8" w:rsidRPr="001A14A4">
        <w:t>20 Οκτωβρίου 2023</w:t>
      </w:r>
      <w:r w:rsidR="00F76C15" w:rsidRPr="001A14A4">
        <w:t xml:space="preserve"> και η παραλαβή των δωματίων ξεκίνησε στις </w:t>
      </w:r>
      <w:r w:rsidR="00084CC8" w:rsidRPr="001A14A4">
        <w:t xml:space="preserve">23 Οκτωβρίου </w:t>
      </w:r>
      <w:r w:rsidR="00F76C15" w:rsidRPr="001A14A4">
        <w:t xml:space="preserve">και </w:t>
      </w:r>
      <w:r w:rsidR="00084CC8" w:rsidRPr="001A14A4">
        <w:t xml:space="preserve"> </w:t>
      </w:r>
      <w:r w:rsidR="00F76C15" w:rsidRPr="001A14A4">
        <w:t>ολοκληρώθηκε στις</w:t>
      </w:r>
      <w:r w:rsidR="00084CC8" w:rsidRPr="001A14A4">
        <w:t xml:space="preserve"> 31 Οκτωβρίου</w:t>
      </w:r>
      <w:r w:rsidR="00F76C15" w:rsidRPr="001A14A4">
        <w:t>.</w:t>
      </w:r>
    </w:p>
    <w:p w14:paraId="35DD8DAA" w14:textId="03CECA94" w:rsidR="00F76C15" w:rsidRPr="00097834" w:rsidRDefault="00F76C15" w:rsidP="00516026">
      <w:pPr>
        <w:snapToGrid w:val="0"/>
        <w:spacing w:after="0"/>
        <w:jc w:val="both"/>
        <w:rPr>
          <w:rFonts w:cstheme="minorHAnsi"/>
        </w:rPr>
      </w:pPr>
      <w:r w:rsidRPr="001A14A4">
        <w:t>Στο</w:t>
      </w:r>
      <w:r w:rsidR="00B76A30" w:rsidRPr="001A14A4">
        <w:t>υς</w:t>
      </w:r>
      <w:r w:rsidRPr="001A14A4">
        <w:t xml:space="preserve"> πίνακ</w:t>
      </w:r>
      <w:r w:rsidR="00B76A30" w:rsidRPr="001A14A4">
        <w:t>ες</w:t>
      </w:r>
      <w:r w:rsidRPr="001A14A4">
        <w:t xml:space="preserve"> που ακολουθ</w:t>
      </w:r>
      <w:r w:rsidR="00B76A30" w:rsidRPr="001A14A4">
        <w:t xml:space="preserve">ούν </w:t>
      </w:r>
      <w:r w:rsidRPr="001A14A4">
        <w:t xml:space="preserve"> παρουσιάζονται τα αποτελέσματα για την Κομοτηνή και την Ξάνθη</w:t>
      </w:r>
      <w:r w:rsidR="007114E0">
        <w:rPr>
          <w:rFonts w:cstheme="minorHAnsi"/>
        </w:rPr>
        <w:t>.</w:t>
      </w:r>
    </w:p>
    <w:p w14:paraId="1B5E1816" w14:textId="77777777" w:rsidR="007114E0" w:rsidRPr="00B63296" w:rsidRDefault="007114E0" w:rsidP="00516026">
      <w:pPr>
        <w:snapToGrid w:val="0"/>
        <w:spacing w:after="0"/>
        <w:jc w:val="both"/>
        <w:rPr>
          <w:b/>
          <w:sz w:val="12"/>
          <w:szCs w:val="12"/>
        </w:rPr>
      </w:pPr>
    </w:p>
    <w:p w14:paraId="5097F3B8" w14:textId="3E9CAB22" w:rsidR="00F76C15" w:rsidRPr="001A14A4" w:rsidRDefault="00F76C15" w:rsidP="00516026">
      <w:pPr>
        <w:snapToGrid w:val="0"/>
        <w:spacing w:after="0"/>
        <w:jc w:val="both"/>
      </w:pPr>
      <w:r w:rsidRPr="001A14A4">
        <w:rPr>
          <w:b/>
        </w:rPr>
        <w:t>Κομοτηνή</w:t>
      </w:r>
      <w:r w:rsidRPr="001A14A4">
        <w:t>: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1418"/>
        <w:gridCol w:w="2268"/>
        <w:gridCol w:w="2126"/>
        <w:gridCol w:w="2551"/>
      </w:tblGrid>
      <w:tr w:rsidR="00516026" w:rsidRPr="00097834" w14:paraId="0081EBA9" w14:textId="77777777" w:rsidTr="00516026">
        <w:trPr>
          <w:jc w:val="center"/>
        </w:trPr>
        <w:tc>
          <w:tcPr>
            <w:tcW w:w="1418" w:type="dxa"/>
            <w:vAlign w:val="center"/>
          </w:tcPr>
          <w:p w14:paraId="0F908C00" w14:textId="77777777" w:rsidR="00F76C15" w:rsidRPr="001A14A4" w:rsidRDefault="00F76C15" w:rsidP="00516026">
            <w:pPr>
              <w:jc w:val="center"/>
              <w:rPr>
                <w:b/>
                <w:color w:val="000000"/>
              </w:rPr>
            </w:pPr>
            <w:proofErr w:type="spellStart"/>
            <w:r w:rsidRPr="001A14A4">
              <w:rPr>
                <w:b/>
                <w:color w:val="000000"/>
              </w:rPr>
              <w:t>Ακ</w:t>
            </w:r>
            <w:proofErr w:type="spellEnd"/>
            <w:r w:rsidRPr="001A14A4">
              <w:rPr>
                <w:b/>
                <w:color w:val="000000"/>
              </w:rPr>
              <w:t>. έτος</w:t>
            </w:r>
          </w:p>
        </w:tc>
        <w:tc>
          <w:tcPr>
            <w:tcW w:w="2268" w:type="dxa"/>
            <w:vAlign w:val="center"/>
          </w:tcPr>
          <w:p w14:paraId="37579C4A" w14:textId="77777777" w:rsidR="00F76C15" w:rsidRPr="001A14A4" w:rsidRDefault="00F76C15" w:rsidP="00516026">
            <w:pPr>
              <w:jc w:val="center"/>
              <w:rPr>
                <w:b/>
                <w:color w:val="000000"/>
              </w:rPr>
            </w:pPr>
            <w:r w:rsidRPr="001A14A4">
              <w:rPr>
                <w:b/>
                <w:color w:val="000000"/>
              </w:rPr>
              <w:t>Αιτήθηκαν στέγαση (κατηγορία)</w:t>
            </w:r>
          </w:p>
        </w:tc>
        <w:tc>
          <w:tcPr>
            <w:tcW w:w="2126" w:type="dxa"/>
            <w:vAlign w:val="center"/>
          </w:tcPr>
          <w:p w14:paraId="371396E1" w14:textId="77777777" w:rsidR="00F76C15" w:rsidRPr="001A14A4" w:rsidRDefault="00F76C15" w:rsidP="00516026">
            <w:pPr>
              <w:jc w:val="center"/>
              <w:rPr>
                <w:b/>
                <w:color w:val="000000"/>
              </w:rPr>
            </w:pPr>
            <w:r w:rsidRPr="001A14A4">
              <w:rPr>
                <w:b/>
                <w:color w:val="000000"/>
              </w:rPr>
              <w:t>Αιτήθηκαν στέγαση (αριθμός)</w:t>
            </w:r>
          </w:p>
        </w:tc>
        <w:tc>
          <w:tcPr>
            <w:tcW w:w="2551" w:type="dxa"/>
            <w:vAlign w:val="center"/>
          </w:tcPr>
          <w:p w14:paraId="059000F8" w14:textId="77777777" w:rsidR="00F76C15" w:rsidRPr="001A14A4" w:rsidRDefault="00F76C15" w:rsidP="00516026">
            <w:pPr>
              <w:jc w:val="center"/>
              <w:rPr>
                <w:b/>
                <w:color w:val="000000"/>
              </w:rPr>
            </w:pPr>
            <w:r w:rsidRPr="001A14A4">
              <w:rPr>
                <w:b/>
                <w:color w:val="000000"/>
              </w:rPr>
              <w:t>Κλήθηκαν να παραλάβουν δωμάτιο (αριθμός)</w:t>
            </w:r>
          </w:p>
        </w:tc>
      </w:tr>
      <w:tr w:rsidR="00516026" w:rsidRPr="00097834" w14:paraId="29D97DDD" w14:textId="77777777" w:rsidTr="00516026">
        <w:trPr>
          <w:jc w:val="center"/>
        </w:trPr>
        <w:tc>
          <w:tcPr>
            <w:tcW w:w="1418" w:type="dxa"/>
            <w:vAlign w:val="center"/>
          </w:tcPr>
          <w:p w14:paraId="133A6367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  <w:r w:rsidRPr="001A14A4">
              <w:rPr>
                <w:color w:val="000000"/>
              </w:rPr>
              <w:t>2023-2024</w:t>
            </w:r>
          </w:p>
        </w:tc>
        <w:tc>
          <w:tcPr>
            <w:tcW w:w="2268" w:type="dxa"/>
            <w:vAlign w:val="center"/>
          </w:tcPr>
          <w:p w14:paraId="420411F4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  <w:r w:rsidRPr="001A14A4">
              <w:rPr>
                <w:color w:val="000000"/>
              </w:rPr>
              <w:t xml:space="preserve">Άνω του </w:t>
            </w:r>
            <w:proofErr w:type="spellStart"/>
            <w:r w:rsidRPr="001A14A4">
              <w:rPr>
                <w:color w:val="000000"/>
              </w:rPr>
              <w:t>Β΄έτους</w:t>
            </w:r>
            <w:proofErr w:type="spellEnd"/>
            <w:r w:rsidRPr="001A14A4">
              <w:rPr>
                <w:color w:val="000000"/>
              </w:rPr>
              <w:t>:</w:t>
            </w:r>
          </w:p>
        </w:tc>
        <w:tc>
          <w:tcPr>
            <w:tcW w:w="2126" w:type="dxa"/>
            <w:vAlign w:val="center"/>
          </w:tcPr>
          <w:p w14:paraId="31319113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  <w:r w:rsidRPr="001A14A4">
              <w:rPr>
                <w:color w:val="000000"/>
              </w:rPr>
              <w:t>388</w:t>
            </w:r>
          </w:p>
        </w:tc>
        <w:tc>
          <w:tcPr>
            <w:tcW w:w="2551" w:type="dxa"/>
            <w:vAlign w:val="center"/>
          </w:tcPr>
          <w:p w14:paraId="55975660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  <w:r w:rsidRPr="001A14A4">
              <w:rPr>
                <w:color w:val="000000"/>
              </w:rPr>
              <w:t>388</w:t>
            </w:r>
          </w:p>
        </w:tc>
      </w:tr>
      <w:tr w:rsidR="00516026" w:rsidRPr="00097834" w14:paraId="11FFAE3D" w14:textId="77777777" w:rsidTr="00516026">
        <w:trPr>
          <w:jc w:val="center"/>
        </w:trPr>
        <w:tc>
          <w:tcPr>
            <w:tcW w:w="1418" w:type="dxa"/>
            <w:vAlign w:val="center"/>
          </w:tcPr>
          <w:p w14:paraId="17BE4AB9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A4560F6" w14:textId="5FCA0F98" w:rsidR="00F76C15" w:rsidRPr="001A14A4" w:rsidRDefault="00F76C15" w:rsidP="00516026">
            <w:pPr>
              <w:jc w:val="center"/>
              <w:rPr>
                <w:color w:val="000000"/>
              </w:rPr>
            </w:pPr>
            <w:proofErr w:type="spellStart"/>
            <w:r w:rsidRPr="001A14A4">
              <w:rPr>
                <w:color w:val="000000"/>
              </w:rPr>
              <w:t>Α</w:t>
            </w:r>
            <w:r w:rsidR="00385E41" w:rsidRPr="001A14A4">
              <w:rPr>
                <w:color w:val="000000"/>
              </w:rPr>
              <w:t>'</w:t>
            </w:r>
            <w:r w:rsidRPr="001A14A4">
              <w:rPr>
                <w:color w:val="000000"/>
              </w:rPr>
              <w:t>ετείς</w:t>
            </w:r>
            <w:proofErr w:type="spellEnd"/>
            <w:r w:rsidRPr="001A14A4">
              <w:rPr>
                <w:color w:val="000000"/>
              </w:rPr>
              <w:t>:</w:t>
            </w:r>
          </w:p>
        </w:tc>
        <w:tc>
          <w:tcPr>
            <w:tcW w:w="2126" w:type="dxa"/>
            <w:vAlign w:val="center"/>
          </w:tcPr>
          <w:p w14:paraId="52A5C1B1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  <w:r w:rsidRPr="001A14A4">
              <w:rPr>
                <w:color w:val="000000"/>
              </w:rPr>
              <w:t>103</w:t>
            </w:r>
          </w:p>
        </w:tc>
        <w:tc>
          <w:tcPr>
            <w:tcW w:w="2551" w:type="dxa"/>
            <w:vAlign w:val="center"/>
          </w:tcPr>
          <w:p w14:paraId="3C0474C0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  <w:r w:rsidRPr="001A14A4">
              <w:rPr>
                <w:color w:val="000000"/>
              </w:rPr>
              <w:t>103</w:t>
            </w:r>
          </w:p>
        </w:tc>
      </w:tr>
      <w:tr w:rsidR="00516026" w:rsidRPr="00097834" w14:paraId="08906F77" w14:textId="77777777" w:rsidTr="00516026">
        <w:trPr>
          <w:jc w:val="center"/>
        </w:trPr>
        <w:tc>
          <w:tcPr>
            <w:tcW w:w="1418" w:type="dxa"/>
            <w:vAlign w:val="center"/>
          </w:tcPr>
          <w:p w14:paraId="18CC0E63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750B697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  <w:r w:rsidRPr="001A14A4">
              <w:rPr>
                <w:color w:val="000000"/>
              </w:rPr>
              <w:t>Μεταπτυχιακοί</w:t>
            </w:r>
          </w:p>
        </w:tc>
        <w:tc>
          <w:tcPr>
            <w:tcW w:w="2126" w:type="dxa"/>
            <w:vAlign w:val="center"/>
          </w:tcPr>
          <w:p w14:paraId="1E79BBC3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  <w:r w:rsidRPr="001A14A4">
              <w:rPr>
                <w:color w:val="000000"/>
              </w:rPr>
              <w:t>8</w:t>
            </w:r>
          </w:p>
        </w:tc>
        <w:tc>
          <w:tcPr>
            <w:tcW w:w="2551" w:type="dxa"/>
            <w:vAlign w:val="center"/>
          </w:tcPr>
          <w:p w14:paraId="3F24F9D0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  <w:r w:rsidRPr="001A14A4">
              <w:rPr>
                <w:color w:val="000000"/>
              </w:rPr>
              <w:t>8</w:t>
            </w:r>
          </w:p>
        </w:tc>
      </w:tr>
    </w:tbl>
    <w:p w14:paraId="690E7B02" w14:textId="77777777" w:rsidR="00B63296" w:rsidRPr="00B63296" w:rsidRDefault="00B63296" w:rsidP="00B63296">
      <w:pPr>
        <w:snapToGrid w:val="0"/>
        <w:spacing w:after="0"/>
        <w:jc w:val="both"/>
        <w:rPr>
          <w:b/>
          <w:sz w:val="12"/>
          <w:szCs w:val="12"/>
        </w:rPr>
      </w:pPr>
    </w:p>
    <w:p w14:paraId="6CB47DB5" w14:textId="7AF5575A" w:rsidR="00084CC8" w:rsidRPr="001A14A4" w:rsidRDefault="00F76C15" w:rsidP="00516026">
      <w:pPr>
        <w:snapToGrid w:val="0"/>
        <w:spacing w:after="0"/>
        <w:jc w:val="both"/>
      </w:pPr>
      <w:r w:rsidRPr="001A14A4">
        <w:rPr>
          <w:b/>
        </w:rPr>
        <w:t>Ξάνθη</w:t>
      </w:r>
      <w:r w:rsidRPr="001A14A4">
        <w:t>: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555"/>
        <w:gridCol w:w="2126"/>
        <w:gridCol w:w="2268"/>
        <w:gridCol w:w="2410"/>
      </w:tblGrid>
      <w:tr w:rsidR="00516026" w:rsidRPr="00097834" w14:paraId="2C5FFD07" w14:textId="77777777" w:rsidTr="00B76A30">
        <w:tc>
          <w:tcPr>
            <w:tcW w:w="1555" w:type="dxa"/>
            <w:vAlign w:val="center"/>
          </w:tcPr>
          <w:p w14:paraId="77B95CCC" w14:textId="77777777" w:rsidR="00F76C15" w:rsidRPr="001A14A4" w:rsidRDefault="00F76C15" w:rsidP="00516026">
            <w:pPr>
              <w:jc w:val="center"/>
              <w:rPr>
                <w:b/>
                <w:color w:val="000000"/>
              </w:rPr>
            </w:pPr>
            <w:proofErr w:type="spellStart"/>
            <w:r w:rsidRPr="001A14A4">
              <w:rPr>
                <w:b/>
                <w:color w:val="000000"/>
              </w:rPr>
              <w:t>Ακ</w:t>
            </w:r>
            <w:proofErr w:type="spellEnd"/>
            <w:r w:rsidRPr="001A14A4">
              <w:rPr>
                <w:b/>
                <w:color w:val="000000"/>
              </w:rPr>
              <w:t>. έτος</w:t>
            </w:r>
          </w:p>
        </w:tc>
        <w:tc>
          <w:tcPr>
            <w:tcW w:w="2126" w:type="dxa"/>
            <w:vAlign w:val="center"/>
          </w:tcPr>
          <w:p w14:paraId="1D29FBFE" w14:textId="77777777" w:rsidR="00F76C15" w:rsidRPr="001A14A4" w:rsidRDefault="00F76C15" w:rsidP="00516026">
            <w:pPr>
              <w:jc w:val="center"/>
              <w:rPr>
                <w:b/>
                <w:color w:val="000000"/>
              </w:rPr>
            </w:pPr>
            <w:r w:rsidRPr="001A14A4">
              <w:rPr>
                <w:b/>
                <w:color w:val="000000"/>
              </w:rPr>
              <w:t>Αιτήθηκαν στέγαση (κατηγορία)</w:t>
            </w:r>
          </w:p>
        </w:tc>
        <w:tc>
          <w:tcPr>
            <w:tcW w:w="2268" w:type="dxa"/>
            <w:vAlign w:val="center"/>
          </w:tcPr>
          <w:p w14:paraId="6EB4F8BE" w14:textId="77777777" w:rsidR="00F76C15" w:rsidRPr="001A14A4" w:rsidRDefault="00F76C15" w:rsidP="00516026">
            <w:pPr>
              <w:jc w:val="center"/>
              <w:rPr>
                <w:b/>
                <w:color w:val="000000"/>
              </w:rPr>
            </w:pPr>
            <w:r w:rsidRPr="001A14A4">
              <w:rPr>
                <w:b/>
                <w:color w:val="000000"/>
              </w:rPr>
              <w:t>Αιτήθηκαν στέγαση (αριθμός)</w:t>
            </w:r>
          </w:p>
        </w:tc>
        <w:tc>
          <w:tcPr>
            <w:tcW w:w="2410" w:type="dxa"/>
            <w:vAlign w:val="center"/>
          </w:tcPr>
          <w:p w14:paraId="2FB77714" w14:textId="77777777" w:rsidR="00F76C15" w:rsidRPr="001A14A4" w:rsidRDefault="00F76C15" w:rsidP="00516026">
            <w:pPr>
              <w:jc w:val="center"/>
              <w:rPr>
                <w:b/>
                <w:color w:val="000000"/>
              </w:rPr>
            </w:pPr>
            <w:r w:rsidRPr="001A14A4">
              <w:rPr>
                <w:b/>
                <w:color w:val="000000"/>
              </w:rPr>
              <w:t>Κλήθηκαν να παραλάβουν δωμάτιο (αριθμός)</w:t>
            </w:r>
          </w:p>
        </w:tc>
      </w:tr>
      <w:tr w:rsidR="00097834" w:rsidRPr="00097834" w14:paraId="642D7967" w14:textId="77777777" w:rsidTr="00B76A30">
        <w:tc>
          <w:tcPr>
            <w:tcW w:w="1555" w:type="dxa"/>
            <w:vAlign w:val="center"/>
          </w:tcPr>
          <w:p w14:paraId="797AC94F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  <w:r w:rsidRPr="001A14A4">
              <w:rPr>
                <w:color w:val="000000"/>
              </w:rPr>
              <w:t>2023-2024</w:t>
            </w:r>
          </w:p>
        </w:tc>
        <w:tc>
          <w:tcPr>
            <w:tcW w:w="2126" w:type="dxa"/>
            <w:vAlign w:val="center"/>
          </w:tcPr>
          <w:p w14:paraId="223339C1" w14:textId="48E3A1FC" w:rsidR="00F76C15" w:rsidRPr="001A14A4" w:rsidRDefault="00F76C15" w:rsidP="00516026">
            <w:pPr>
              <w:jc w:val="center"/>
              <w:rPr>
                <w:color w:val="000000"/>
              </w:rPr>
            </w:pPr>
            <w:r w:rsidRPr="001A14A4">
              <w:rPr>
                <w:color w:val="000000"/>
              </w:rPr>
              <w:t xml:space="preserve">Άνω του </w:t>
            </w:r>
            <w:proofErr w:type="spellStart"/>
            <w:r w:rsidRPr="001A14A4">
              <w:rPr>
                <w:color w:val="000000"/>
              </w:rPr>
              <w:t>Β΄έτους</w:t>
            </w:r>
            <w:proofErr w:type="spellEnd"/>
            <w:r w:rsidRPr="001A14A4">
              <w:rPr>
                <w:color w:val="000000"/>
              </w:rPr>
              <w:t>:</w:t>
            </w:r>
          </w:p>
        </w:tc>
        <w:tc>
          <w:tcPr>
            <w:tcW w:w="2268" w:type="dxa"/>
            <w:vAlign w:val="center"/>
          </w:tcPr>
          <w:p w14:paraId="223B580A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  <w:r w:rsidRPr="001A14A4">
              <w:rPr>
                <w:color w:val="000000"/>
              </w:rPr>
              <w:t>318</w:t>
            </w:r>
          </w:p>
        </w:tc>
        <w:tc>
          <w:tcPr>
            <w:tcW w:w="2410" w:type="dxa"/>
            <w:vAlign w:val="center"/>
          </w:tcPr>
          <w:p w14:paraId="59AD3094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  <w:r w:rsidRPr="001A14A4">
              <w:rPr>
                <w:color w:val="000000"/>
              </w:rPr>
              <w:t>318</w:t>
            </w:r>
          </w:p>
        </w:tc>
      </w:tr>
      <w:tr w:rsidR="00097834" w:rsidRPr="00097834" w14:paraId="6F39C954" w14:textId="77777777" w:rsidTr="00B76A30">
        <w:tc>
          <w:tcPr>
            <w:tcW w:w="1555" w:type="dxa"/>
            <w:vAlign w:val="center"/>
          </w:tcPr>
          <w:p w14:paraId="3F9743E1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2913D1F3" w14:textId="0704DD8C" w:rsidR="00F76C15" w:rsidRPr="001A14A4" w:rsidRDefault="00F76C15" w:rsidP="00516026">
            <w:pPr>
              <w:jc w:val="center"/>
              <w:rPr>
                <w:color w:val="000000"/>
              </w:rPr>
            </w:pPr>
            <w:proofErr w:type="spellStart"/>
            <w:r w:rsidRPr="00097834">
              <w:rPr>
                <w:rFonts w:eastAsia="Times New Roman" w:cstheme="minorHAnsi"/>
                <w:color w:val="000000"/>
                <w:lang w:eastAsia="el-GR"/>
              </w:rPr>
              <w:t>Αετείς</w:t>
            </w:r>
            <w:proofErr w:type="spellEnd"/>
            <w:r w:rsidRPr="001A14A4">
              <w:rPr>
                <w:color w:val="000000"/>
              </w:rPr>
              <w:t>:</w:t>
            </w:r>
          </w:p>
        </w:tc>
        <w:tc>
          <w:tcPr>
            <w:tcW w:w="2268" w:type="dxa"/>
            <w:vAlign w:val="center"/>
          </w:tcPr>
          <w:p w14:paraId="786A2E7E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  <w:r w:rsidRPr="001A14A4">
              <w:rPr>
                <w:color w:val="000000"/>
              </w:rPr>
              <w:t>31</w:t>
            </w:r>
          </w:p>
        </w:tc>
        <w:tc>
          <w:tcPr>
            <w:tcW w:w="2410" w:type="dxa"/>
            <w:vAlign w:val="center"/>
          </w:tcPr>
          <w:p w14:paraId="1C868219" w14:textId="77777777" w:rsidR="00F76C15" w:rsidRPr="001A14A4" w:rsidRDefault="00F76C15" w:rsidP="00516026">
            <w:pPr>
              <w:jc w:val="center"/>
              <w:rPr>
                <w:color w:val="000000"/>
              </w:rPr>
            </w:pPr>
            <w:r w:rsidRPr="001A14A4">
              <w:rPr>
                <w:color w:val="000000"/>
              </w:rPr>
              <w:t>31</w:t>
            </w:r>
          </w:p>
        </w:tc>
      </w:tr>
    </w:tbl>
    <w:p w14:paraId="6B91EB25" w14:textId="77777777" w:rsidR="00B63296" w:rsidRPr="00B63296" w:rsidRDefault="00B63296" w:rsidP="00B63296">
      <w:pPr>
        <w:snapToGrid w:val="0"/>
        <w:spacing w:after="0"/>
        <w:jc w:val="both"/>
        <w:rPr>
          <w:b/>
          <w:sz w:val="12"/>
          <w:szCs w:val="12"/>
        </w:rPr>
      </w:pPr>
    </w:p>
    <w:p w14:paraId="1C2F4000" w14:textId="31DD9DEB" w:rsidR="00385E41" w:rsidRPr="001A14A4" w:rsidRDefault="00097834" w:rsidP="00516026">
      <w:pPr>
        <w:snapToGrid w:val="0"/>
        <w:spacing w:after="0"/>
        <w:jc w:val="both"/>
        <w:rPr>
          <w:b/>
        </w:rPr>
      </w:pPr>
      <w:r w:rsidRPr="001A14A4">
        <w:rPr>
          <w:b/>
        </w:rPr>
        <w:t xml:space="preserve">2. </w:t>
      </w:r>
      <w:r w:rsidR="00385E41" w:rsidRPr="001A14A4">
        <w:rPr>
          <w:b/>
        </w:rPr>
        <w:t>Στέγαση δικαιούχω</w:t>
      </w:r>
      <w:r w:rsidR="00B76A30" w:rsidRPr="001A14A4">
        <w:rPr>
          <w:b/>
        </w:rPr>
        <w:t>ν</w:t>
      </w:r>
      <w:r w:rsidR="00385E41" w:rsidRPr="001A14A4">
        <w:rPr>
          <w:b/>
        </w:rPr>
        <w:t xml:space="preserve"> φοιτητών/τριών στην Αλεξανδρούπολη</w:t>
      </w:r>
    </w:p>
    <w:p w14:paraId="102D250C" w14:textId="4176354E" w:rsidR="00385E41" w:rsidRPr="00097834" w:rsidRDefault="00385E41" w:rsidP="00516026">
      <w:pPr>
        <w:snapToGrid w:val="0"/>
        <w:spacing w:after="0"/>
        <w:jc w:val="both"/>
        <w:rPr>
          <w:rFonts w:cstheme="minorHAnsi"/>
        </w:rPr>
      </w:pPr>
      <w:r w:rsidRPr="001A14A4">
        <w:t>Στην Αλεξανδρούπολη</w:t>
      </w:r>
      <w:r w:rsidR="000B0F8C">
        <w:t>,</w:t>
      </w:r>
      <w:r w:rsidRPr="001A14A4">
        <w:t xml:space="preserve"> όπου δεν υπάρχ</w:t>
      </w:r>
      <w:r w:rsidR="00516026" w:rsidRPr="001A14A4">
        <w:t>ουν</w:t>
      </w:r>
      <w:r w:rsidRPr="001A14A4">
        <w:t xml:space="preserve"> εστί</w:t>
      </w:r>
      <w:r w:rsidR="00516026" w:rsidRPr="001A14A4">
        <w:t>ες</w:t>
      </w:r>
      <w:r w:rsidRPr="001A14A4">
        <w:t xml:space="preserve"> αλλά οι δικαιούχοι φοιτητές</w:t>
      </w:r>
      <w:r w:rsidR="00516026" w:rsidRPr="001A14A4">
        <w:t>/</w:t>
      </w:r>
      <w:proofErr w:type="spellStart"/>
      <w:r w:rsidR="00516026" w:rsidRPr="001A14A4">
        <w:t>τριες</w:t>
      </w:r>
      <w:proofErr w:type="spellEnd"/>
      <w:r w:rsidRPr="001A14A4">
        <w:t xml:space="preserve"> διαμένουν σε δωμάτια ξενοδοχεί</w:t>
      </w:r>
      <w:r w:rsidR="00516026" w:rsidRPr="001A14A4">
        <w:t>ων</w:t>
      </w:r>
      <w:r w:rsidR="000B0F8C">
        <w:t>,</w:t>
      </w:r>
      <w:r w:rsidRPr="001A14A4">
        <w:t xml:space="preserve"> ο συνολικός αριθμός διαθέσιμων κλινών</w:t>
      </w:r>
      <w:r w:rsidR="00516026" w:rsidRPr="001A14A4">
        <w:t xml:space="preserve"> για το </w:t>
      </w:r>
      <w:proofErr w:type="spellStart"/>
      <w:r w:rsidR="000B0F8C">
        <w:t>α</w:t>
      </w:r>
      <w:r w:rsidR="00516026" w:rsidRPr="001A14A4">
        <w:t>κ</w:t>
      </w:r>
      <w:proofErr w:type="spellEnd"/>
      <w:r w:rsidR="00516026" w:rsidRPr="001A14A4">
        <w:t>. έτος 2023-2024</w:t>
      </w:r>
      <w:r w:rsidRPr="001A14A4">
        <w:t xml:space="preserve"> είναι μικρότερος</w:t>
      </w:r>
      <w:r w:rsidR="00CE143A" w:rsidRPr="001A14A4">
        <w:t xml:space="preserve"> </w:t>
      </w:r>
      <w:r w:rsidRPr="001A14A4">
        <w:t>λόγω της αύξησης των τιμών των ξενοδοχείων</w:t>
      </w:r>
      <w:r w:rsidR="00CE143A">
        <w:rPr>
          <w:rFonts w:cstheme="minorHAnsi"/>
        </w:rPr>
        <w:t xml:space="preserve"> και της αδυναμίας του τακτικού προϋπολογισμού να διαθέσει μεγαλύτερη πίστωση</w:t>
      </w:r>
      <w:r w:rsidRPr="00097834">
        <w:rPr>
          <w:rFonts w:cstheme="minorHAnsi"/>
        </w:rPr>
        <w:t>.</w:t>
      </w:r>
      <w:r w:rsidRPr="001A14A4">
        <w:t xml:space="preserve"> Το ΔΠΘ</w:t>
      </w:r>
      <w:r w:rsidR="00516026" w:rsidRPr="001A14A4">
        <w:t xml:space="preserve">, μεριμνώντας </w:t>
      </w:r>
      <w:r w:rsidR="00516026" w:rsidRPr="001A14A4">
        <w:lastRenderedPageBreak/>
        <w:t>σχετικά,</w:t>
      </w:r>
      <w:r w:rsidRPr="001A14A4">
        <w:t xml:space="preserve"> έχει ήδη αιτηθεί προς το ΥΠΑΙΘΑ από τον </w:t>
      </w:r>
      <w:r w:rsidRPr="00097834">
        <w:rPr>
          <w:rFonts w:cstheme="minorHAnsi"/>
        </w:rPr>
        <w:t>Ιού</w:t>
      </w:r>
      <w:r w:rsidR="00CE143A">
        <w:rPr>
          <w:rFonts w:cstheme="minorHAnsi"/>
        </w:rPr>
        <w:t>λ</w:t>
      </w:r>
      <w:r w:rsidRPr="00097834">
        <w:rPr>
          <w:rFonts w:cstheme="minorHAnsi"/>
        </w:rPr>
        <w:t>ιο</w:t>
      </w:r>
      <w:r w:rsidRPr="001A14A4">
        <w:t xml:space="preserve"> 2023 τη διάθεση έκτακτου κονδυλίου για </w:t>
      </w:r>
      <w:r w:rsidRPr="00097834">
        <w:rPr>
          <w:rFonts w:cstheme="minorHAnsi"/>
        </w:rPr>
        <w:t>το</w:t>
      </w:r>
      <w:r w:rsidR="000B0F8C">
        <w:rPr>
          <w:rFonts w:cstheme="minorHAnsi"/>
        </w:rPr>
        <w:t>ν</w:t>
      </w:r>
      <w:r w:rsidRPr="001A14A4">
        <w:t xml:space="preserve"> σκοπό αυτό.</w:t>
      </w:r>
    </w:p>
    <w:p w14:paraId="57F6C81A" w14:textId="77777777" w:rsidR="00B63296" w:rsidRPr="00B63296" w:rsidRDefault="00B63296" w:rsidP="00B63296">
      <w:pPr>
        <w:snapToGrid w:val="0"/>
        <w:spacing w:after="0"/>
        <w:jc w:val="both"/>
        <w:rPr>
          <w:b/>
          <w:sz w:val="12"/>
          <w:szCs w:val="12"/>
        </w:rPr>
      </w:pPr>
    </w:p>
    <w:p w14:paraId="5828DC2D" w14:textId="2F3E474A" w:rsidR="00385E41" w:rsidRPr="001A14A4" w:rsidRDefault="00097834" w:rsidP="00516026">
      <w:pPr>
        <w:snapToGrid w:val="0"/>
        <w:spacing w:after="0"/>
        <w:jc w:val="both"/>
        <w:rPr>
          <w:b/>
        </w:rPr>
      </w:pPr>
      <w:r w:rsidRPr="001A14A4">
        <w:rPr>
          <w:b/>
        </w:rPr>
        <w:t>3.</w:t>
      </w:r>
      <w:r w:rsidR="00385E41" w:rsidRPr="001A14A4">
        <w:rPr>
          <w:b/>
        </w:rPr>
        <w:t xml:space="preserve"> </w:t>
      </w:r>
      <w:r w:rsidR="00B76A30" w:rsidRPr="001A14A4">
        <w:rPr>
          <w:b/>
        </w:rPr>
        <w:t>Ανακαίνιση</w:t>
      </w:r>
      <w:r w:rsidR="00385E41" w:rsidRPr="001A14A4">
        <w:rPr>
          <w:b/>
        </w:rPr>
        <w:t xml:space="preserve"> εστιών Ξάνθης</w:t>
      </w:r>
    </w:p>
    <w:p w14:paraId="4563FDD0" w14:textId="26657DA4" w:rsidR="00516026" w:rsidRPr="001A14A4" w:rsidRDefault="00484554" w:rsidP="00516026">
      <w:pPr>
        <w:snapToGrid w:val="0"/>
        <w:spacing w:after="0"/>
        <w:jc w:val="both"/>
      </w:pPr>
      <w:r w:rsidRPr="001A14A4">
        <w:t>Κ</w:t>
      </w:r>
      <w:r w:rsidR="00385E41" w:rsidRPr="001A14A4">
        <w:t xml:space="preserve">αθώς το ΔΠΘ </w:t>
      </w:r>
      <w:r w:rsidR="00084CC8" w:rsidRPr="001A14A4">
        <w:t>μεριμνά για την όσο το δυνατόν καλύτερη κάλυψη των αναγκών στέγασης των φοιτητών/τριών του</w:t>
      </w:r>
      <w:r w:rsidRPr="001A14A4">
        <w:t xml:space="preserve"> σε</w:t>
      </w:r>
      <w:r w:rsidR="00084CC8" w:rsidRPr="001A14A4">
        <w:t xml:space="preserve"> ενδεδειγμένους και κατάλληλους χώρους </w:t>
      </w:r>
      <w:r w:rsidR="00084CC8" w:rsidRPr="00097834">
        <w:rPr>
          <w:rFonts w:cstheme="minorHAnsi"/>
        </w:rPr>
        <w:t>προχ</w:t>
      </w:r>
      <w:r w:rsidR="00D6424E">
        <w:rPr>
          <w:rFonts w:cstheme="minorHAnsi"/>
        </w:rPr>
        <w:t>ωρεί</w:t>
      </w:r>
      <w:r w:rsidR="00084CC8" w:rsidRPr="001A14A4">
        <w:t xml:space="preserve"> στην εξ ολοκλήρου ανακατασκευή του κτηριακού συγκροτήματος των φοιτητικών εστιών που βρίσκονται στα </w:t>
      </w:r>
      <w:proofErr w:type="spellStart"/>
      <w:r w:rsidR="00084CC8" w:rsidRPr="001A14A4">
        <w:t>Κιμμέρια</w:t>
      </w:r>
      <w:proofErr w:type="spellEnd"/>
      <w:r w:rsidR="00084CC8" w:rsidRPr="001A14A4">
        <w:t xml:space="preserve"> Ξάνθης αξιοποιώντας πόρους από το Εθνικό Πρόγραμμα Ανάπτυξης</w:t>
      </w:r>
      <w:r w:rsidR="00D6424E" w:rsidRPr="001A14A4">
        <w:t xml:space="preserve"> </w:t>
      </w:r>
      <w:r w:rsidR="00D6424E">
        <w:rPr>
          <w:rFonts w:cstheme="minorHAnsi"/>
        </w:rPr>
        <w:t>(πρώην ΠΔΕ)</w:t>
      </w:r>
      <w:r w:rsidR="00084CC8" w:rsidRPr="00097834">
        <w:rPr>
          <w:rFonts w:cstheme="minorHAnsi"/>
        </w:rPr>
        <w:t xml:space="preserve"> </w:t>
      </w:r>
      <w:r w:rsidR="00084CC8" w:rsidRPr="001A14A4">
        <w:t xml:space="preserve">συνολικού συμβατικού προϋπολογισμού πέντε εκατομμυρίων οκτακοσίων ογδόντα τεσσάρων χιλιάδων δύο ευρώ και πενήντα τεσσάρων λεπτών (5.884.002,54€) με ΦΠΑ. </w:t>
      </w:r>
      <w:r w:rsidR="00B76A30" w:rsidRPr="001A14A4">
        <w:t>Τ</w:t>
      </w:r>
      <w:r w:rsidR="00084CC8" w:rsidRPr="001A14A4">
        <w:t xml:space="preserve">ο έργο ανακατασκευής των φοιτητικών εστιών της Ξάνθης </w:t>
      </w:r>
      <w:r w:rsidR="00B76A30" w:rsidRPr="001A14A4">
        <w:t>είναι</w:t>
      </w:r>
      <w:r w:rsidR="00084CC8" w:rsidRPr="001A14A4">
        <w:t xml:space="preserve"> απολύτως αναγκαίο, καθώς το κτηριακό συγκρότημα ήταν σε κακή κατάσταση και η ανακαίνιση επιβεβλημένη για τη βελτίωση των συνθηκών διαβίωσης των φοιτητών/τριών μας. </w:t>
      </w:r>
      <w:r w:rsidR="00516026" w:rsidRPr="001A14A4">
        <w:t xml:space="preserve">Σύμφωνα με τον προγραμματισμό της Διεύθυνσης Τεχνικών Έργων του ΔΠΘ </w:t>
      </w:r>
      <w:r w:rsidR="00516026" w:rsidRPr="00097834">
        <w:rPr>
          <w:rFonts w:cstheme="minorHAnsi"/>
        </w:rPr>
        <w:t>το</w:t>
      </w:r>
      <w:r w:rsidR="00516026" w:rsidRPr="001A14A4">
        <w:t xml:space="preserve"> κτήριο Β2 των φοιτητικών εστιών Κιμμερίων Ξάνθης αναμένεται να παραδοθεί στο τέλος του 2023 ενώ το κτήριο Β1 στα μέσα του 2024. Στη συνέχεια θα ξεκινήσει η ανακαίνιση </w:t>
      </w:r>
      <w:r w:rsidR="003354EC">
        <w:t>σ</w:t>
      </w:r>
      <w:bookmarkStart w:id="0" w:name="_GoBack"/>
      <w:bookmarkEnd w:id="0"/>
      <w:r w:rsidR="00516026" w:rsidRPr="00097834">
        <w:rPr>
          <w:rFonts w:cstheme="minorHAnsi"/>
        </w:rPr>
        <w:t>το</w:t>
      </w:r>
      <w:r w:rsidR="00516026" w:rsidRPr="001A14A4">
        <w:t xml:space="preserve"> κτήριο Α2 μετά από τη μετακόμιση των φοιτητών/τριών που διαμένουν εκεί στο κτήριο Β2 </w:t>
      </w:r>
      <w:proofErr w:type="spellStart"/>
      <w:r w:rsidR="00516026" w:rsidRPr="001A14A4">
        <w:t>κ.ο.κ</w:t>
      </w:r>
      <w:proofErr w:type="spellEnd"/>
      <w:r w:rsidR="00516026" w:rsidRPr="001A14A4">
        <w:t xml:space="preserve"> μέχρις ότου ολοκληρωθεί η ανακαίνιση όλων των κτηρίων</w:t>
      </w:r>
      <w:r w:rsidR="00106F41" w:rsidRPr="001A14A4">
        <w:t xml:space="preserve"> </w:t>
      </w:r>
      <w:r w:rsidR="00106F41">
        <w:rPr>
          <w:rFonts w:cstheme="minorHAnsi"/>
        </w:rPr>
        <w:t>(συνολικά 8)</w:t>
      </w:r>
      <w:r w:rsidR="00516026" w:rsidRPr="00097834">
        <w:rPr>
          <w:rFonts w:cstheme="minorHAnsi"/>
        </w:rPr>
        <w:t xml:space="preserve"> </w:t>
      </w:r>
      <w:r w:rsidR="00516026" w:rsidRPr="001A14A4">
        <w:t xml:space="preserve">των φοιτητικών εστιών Κιμμερίων Ξάνθης, όπως </w:t>
      </w:r>
      <w:r w:rsidR="00C06CEB" w:rsidRPr="001A14A4">
        <w:t>έχει προγραμματιστεί</w:t>
      </w:r>
      <w:r w:rsidR="00516026" w:rsidRPr="001A14A4">
        <w:t>.</w:t>
      </w:r>
    </w:p>
    <w:p w14:paraId="31676962" w14:textId="77777777" w:rsidR="00B63296" w:rsidRPr="00B63296" w:rsidRDefault="00B63296" w:rsidP="00B63296">
      <w:pPr>
        <w:snapToGrid w:val="0"/>
        <w:spacing w:after="0"/>
        <w:jc w:val="both"/>
        <w:rPr>
          <w:b/>
          <w:sz w:val="12"/>
          <w:szCs w:val="12"/>
        </w:rPr>
      </w:pPr>
    </w:p>
    <w:p w14:paraId="02D67183" w14:textId="70DFC168" w:rsidR="00A536AA" w:rsidRPr="001A14A4" w:rsidRDefault="00097834" w:rsidP="00A536AA">
      <w:pPr>
        <w:snapToGrid w:val="0"/>
        <w:spacing w:after="0"/>
        <w:jc w:val="both"/>
        <w:rPr>
          <w:b/>
        </w:rPr>
      </w:pPr>
      <w:r w:rsidRPr="001A14A4">
        <w:rPr>
          <w:b/>
        </w:rPr>
        <w:t>4.</w:t>
      </w:r>
      <w:r w:rsidR="00A536AA" w:rsidRPr="001A14A4">
        <w:rPr>
          <w:b/>
        </w:rPr>
        <w:t xml:space="preserve"> </w:t>
      </w:r>
      <w:r w:rsidR="00A536AA" w:rsidRPr="00097834">
        <w:rPr>
          <w:rFonts w:cstheme="minorHAnsi"/>
          <w:b/>
          <w:bCs/>
        </w:rPr>
        <w:t>Κατάσταση</w:t>
      </w:r>
      <w:r w:rsidR="00A536AA" w:rsidRPr="001A14A4">
        <w:rPr>
          <w:b/>
        </w:rPr>
        <w:t xml:space="preserve"> εστιών Ξάνθης </w:t>
      </w:r>
    </w:p>
    <w:p w14:paraId="35F946F5" w14:textId="33B4BC4B" w:rsidR="00097834" w:rsidRPr="001A14A4" w:rsidRDefault="00A536AA" w:rsidP="00A536AA">
      <w:pPr>
        <w:snapToGrid w:val="0"/>
        <w:spacing w:after="0"/>
        <w:jc w:val="both"/>
      </w:pPr>
      <w:r w:rsidRPr="001A14A4">
        <w:t>Την ευθύνη της συντήρησης των εστιών της Ξάνθης έχει το ΙΝΕΔΙΒΙΜ και τα αιτήματα των οικότροφων φοιτητών τίθενται προς τον επόπτη συχνά προφορικά</w:t>
      </w:r>
      <w:r w:rsidR="001A14A4">
        <w:rPr>
          <w:rFonts w:cstheme="minorHAnsi"/>
        </w:rPr>
        <w:t>.</w:t>
      </w:r>
      <w:r w:rsidRPr="001A14A4">
        <w:t xml:space="preserve"> Τα προβλήματα που εντοπίζονται σε δωμάτια (π.χ. βλάβες </w:t>
      </w:r>
      <w:r w:rsidR="000B0F8C" w:rsidRPr="001A14A4">
        <w:t>κ.λπ.</w:t>
      </w:r>
      <w:r w:rsidRPr="001A14A4">
        <w:t>) λύνονται μετά από επικοινωνία με τους υπευθύνους συντήρησης</w:t>
      </w:r>
      <w:r w:rsidRPr="00097834">
        <w:rPr>
          <w:rFonts w:cstheme="minorHAnsi"/>
        </w:rPr>
        <w:t>.</w:t>
      </w:r>
      <w:r w:rsidR="00097834" w:rsidRPr="00097834">
        <w:rPr>
          <w:rFonts w:cstheme="minorHAnsi"/>
        </w:rPr>
        <w:t xml:space="preserve"> </w:t>
      </w:r>
      <w:r w:rsidRPr="00097834">
        <w:rPr>
          <w:rFonts w:cstheme="minorHAnsi"/>
        </w:rPr>
        <w:t xml:space="preserve">Για το θέμα του φωτισμού που τέθηκε </w:t>
      </w:r>
      <w:r w:rsidR="00097834" w:rsidRPr="00097834">
        <w:rPr>
          <w:rFonts w:cstheme="minorHAnsi"/>
        </w:rPr>
        <w:t xml:space="preserve">αυτό </w:t>
      </w:r>
      <w:r w:rsidRPr="00097834">
        <w:rPr>
          <w:rFonts w:cstheme="minorHAnsi"/>
        </w:rPr>
        <w:t>θα διευθετηθεί στο επόμενο διάστημα</w:t>
      </w:r>
      <w:r w:rsidR="00606B80">
        <w:rPr>
          <w:rFonts w:cstheme="minorHAnsi"/>
        </w:rPr>
        <w:t xml:space="preserve"> από το ΔΠΘ</w:t>
      </w:r>
      <w:r w:rsidR="00097834" w:rsidRPr="00097834">
        <w:rPr>
          <w:rFonts w:cstheme="minorHAnsi"/>
        </w:rPr>
        <w:t xml:space="preserve">. Σε σχέση με την ενίσχυση της φύλαξης των εστιών το ζήτημα θα </w:t>
      </w:r>
      <w:r w:rsidR="00654F3C">
        <w:rPr>
          <w:rFonts w:cstheme="minorHAnsi"/>
        </w:rPr>
        <w:t>ζητηθεί από το ΙΝΕΔΙΒΙΜ.</w:t>
      </w:r>
    </w:p>
    <w:p w14:paraId="6742A991" w14:textId="77777777" w:rsidR="00B63296" w:rsidRPr="00B63296" w:rsidRDefault="00B63296" w:rsidP="00B63296">
      <w:pPr>
        <w:snapToGrid w:val="0"/>
        <w:spacing w:after="0"/>
        <w:jc w:val="both"/>
        <w:rPr>
          <w:b/>
          <w:sz w:val="12"/>
          <w:szCs w:val="12"/>
        </w:rPr>
      </w:pPr>
    </w:p>
    <w:p w14:paraId="539D6DCA" w14:textId="7BE4AB3B" w:rsidR="00097834" w:rsidRPr="001A14A4" w:rsidRDefault="00097834" w:rsidP="00516026">
      <w:pPr>
        <w:snapToGrid w:val="0"/>
        <w:spacing w:after="0"/>
        <w:jc w:val="both"/>
        <w:rPr>
          <w:b/>
        </w:rPr>
      </w:pPr>
      <w:r w:rsidRPr="001A14A4">
        <w:rPr>
          <w:b/>
        </w:rPr>
        <w:t>5. Δωρεάν μεταφορές</w:t>
      </w:r>
    </w:p>
    <w:p w14:paraId="2079BDBE" w14:textId="3A04F0CF" w:rsidR="00097834" w:rsidRPr="001A14A4" w:rsidRDefault="00097834" w:rsidP="00516026">
      <w:pPr>
        <w:snapToGrid w:val="0"/>
        <w:spacing w:after="0"/>
        <w:jc w:val="both"/>
      </w:pPr>
      <w:r w:rsidRPr="001A14A4">
        <w:t>Όπως έχει ήδη συζητηθεί και αναλυθεί από το προηγούμενο ακαδημαϊκό έτος δεν είναι δυνατή η δωρεάν μεταφορά φοιτητών/τριών</w:t>
      </w:r>
      <w:r w:rsidR="00393587" w:rsidRPr="001A14A4">
        <w:t xml:space="preserve">. </w:t>
      </w:r>
      <w:r w:rsidR="00393587">
        <w:rPr>
          <w:rFonts w:cstheme="minorHAnsi"/>
        </w:rPr>
        <w:t xml:space="preserve">Σε σχέση με τις μετακινήσεις της Πρακτικής </w:t>
      </w:r>
      <w:r w:rsidR="00606B80">
        <w:rPr>
          <w:rFonts w:cstheme="minorHAnsi"/>
        </w:rPr>
        <w:t>Ά</w:t>
      </w:r>
      <w:r w:rsidR="00393587">
        <w:rPr>
          <w:rFonts w:cstheme="minorHAnsi"/>
        </w:rPr>
        <w:t>σκησης</w:t>
      </w:r>
      <w:r w:rsidR="001A14A4" w:rsidRPr="001A14A4">
        <w:rPr>
          <w:rFonts w:cstheme="minorHAnsi"/>
          <w:color w:val="000000" w:themeColor="text1"/>
        </w:rPr>
        <w:t xml:space="preserve"> το ΔΠΘ με πρωτοβουλία του</w:t>
      </w:r>
      <w:r w:rsidR="00B63296">
        <w:rPr>
          <w:rFonts w:cstheme="minorHAnsi"/>
          <w:color w:val="000000" w:themeColor="text1"/>
        </w:rPr>
        <w:t xml:space="preserve"> </w:t>
      </w:r>
      <w:r w:rsidR="001A14A4" w:rsidRPr="001A14A4">
        <w:rPr>
          <w:rFonts w:cstheme="minorHAnsi"/>
          <w:color w:val="000000" w:themeColor="text1"/>
        </w:rPr>
        <w:t>πέτυχε οι φοιτητές/</w:t>
      </w:r>
      <w:proofErr w:type="spellStart"/>
      <w:r w:rsidR="001A14A4" w:rsidRPr="001A14A4">
        <w:rPr>
          <w:rFonts w:cstheme="minorHAnsi"/>
          <w:color w:val="000000" w:themeColor="text1"/>
        </w:rPr>
        <w:t>τρι</w:t>
      </w:r>
      <w:r w:rsidR="000B0F8C">
        <w:rPr>
          <w:rFonts w:cstheme="minorHAnsi"/>
          <w:color w:val="000000" w:themeColor="text1"/>
        </w:rPr>
        <w:t>έ</w:t>
      </w:r>
      <w:r w:rsidR="001A14A4" w:rsidRPr="001A14A4">
        <w:rPr>
          <w:rFonts w:cstheme="minorHAnsi"/>
          <w:color w:val="000000" w:themeColor="text1"/>
        </w:rPr>
        <w:t>ς</w:t>
      </w:r>
      <w:proofErr w:type="spellEnd"/>
      <w:r w:rsidR="001A14A4" w:rsidRPr="001A14A4">
        <w:rPr>
          <w:rFonts w:cstheme="minorHAnsi"/>
          <w:color w:val="000000" w:themeColor="text1"/>
        </w:rPr>
        <w:t xml:space="preserve"> του να έχουν πέραν της έκπτωσης που δικαιούνται, επιπλέον έκπτωση 25%.</w:t>
      </w:r>
      <w:r w:rsidR="001A14A4">
        <w:rPr>
          <w:rFonts w:cstheme="minorHAnsi"/>
          <w:color w:val="000000" w:themeColor="text1"/>
        </w:rPr>
        <w:t xml:space="preserve"> Εκτός αυτού</w:t>
      </w:r>
      <w:r w:rsidR="00B63296">
        <w:rPr>
          <w:rFonts w:cstheme="minorHAnsi"/>
          <w:color w:val="000000" w:themeColor="text1"/>
        </w:rPr>
        <w:t xml:space="preserve"> για το θέμα αυτό</w:t>
      </w:r>
      <w:r w:rsidR="00393587">
        <w:rPr>
          <w:rFonts w:cstheme="minorHAnsi"/>
        </w:rPr>
        <w:t xml:space="preserve"> θα καταβληθεί προσπάθεια για την εξεύρεση</w:t>
      </w:r>
      <w:r w:rsidR="00606B80">
        <w:rPr>
          <w:rFonts w:cstheme="minorHAnsi"/>
        </w:rPr>
        <w:t xml:space="preserve"> χρηματοδότησης ή</w:t>
      </w:r>
      <w:r w:rsidR="00393587">
        <w:rPr>
          <w:rFonts w:cstheme="minorHAnsi"/>
        </w:rPr>
        <w:t xml:space="preserve"> χορηγίας.</w:t>
      </w:r>
    </w:p>
    <w:p w14:paraId="03701F22" w14:textId="77777777" w:rsidR="00B63296" w:rsidRPr="00B63296" w:rsidRDefault="00B63296" w:rsidP="00B63296">
      <w:pPr>
        <w:snapToGrid w:val="0"/>
        <w:spacing w:after="0"/>
        <w:jc w:val="both"/>
        <w:rPr>
          <w:b/>
          <w:sz w:val="12"/>
          <w:szCs w:val="12"/>
        </w:rPr>
      </w:pPr>
    </w:p>
    <w:p w14:paraId="3BB2FA8A" w14:textId="73CE073E" w:rsidR="00516026" w:rsidRPr="001A14A4" w:rsidRDefault="00097834" w:rsidP="00516026">
      <w:pPr>
        <w:snapToGrid w:val="0"/>
        <w:spacing w:after="0"/>
        <w:jc w:val="both"/>
        <w:rPr>
          <w:b/>
        </w:rPr>
      </w:pPr>
      <w:r w:rsidRPr="001A14A4">
        <w:rPr>
          <w:b/>
        </w:rPr>
        <w:t>6.</w:t>
      </w:r>
      <w:r w:rsidR="00393587" w:rsidRPr="001A14A4">
        <w:rPr>
          <w:b/>
        </w:rPr>
        <w:t xml:space="preserve"> Σίτιση στα εστιατόρια των εστιών</w:t>
      </w:r>
    </w:p>
    <w:p w14:paraId="3949AE3E" w14:textId="7A42853F" w:rsidR="00393587" w:rsidRPr="001A14A4" w:rsidRDefault="00393587" w:rsidP="00516026">
      <w:pPr>
        <w:snapToGrid w:val="0"/>
        <w:spacing w:after="0"/>
        <w:jc w:val="both"/>
      </w:pPr>
      <w:r w:rsidRPr="001A14A4">
        <w:t>Τα εστιατόρια των εστιών δεν λειτουργούν με ευθύνη του ΔΠΘ αλλά, όπως και οι εστίες με</w:t>
      </w:r>
      <w:r>
        <w:rPr>
          <w:rFonts w:cstheme="minorHAnsi"/>
        </w:rPr>
        <w:t xml:space="preserve"> την</w:t>
      </w:r>
      <w:r w:rsidRPr="001A14A4">
        <w:t xml:space="preserve"> ευθύνη του ΙΝΕΔΙΒΙΜ. Σε σχέση με το πρόσφατο περιστατικό που αφορά το κομμάτι πλαστικού στο εστιατόριο στην Ξάνθη το ΙΝΕΔΙΒΙΜ είναι ενήμερο.</w:t>
      </w:r>
    </w:p>
    <w:p w14:paraId="7F670DB3" w14:textId="77777777" w:rsidR="00B63296" w:rsidRPr="00B63296" w:rsidRDefault="00B63296" w:rsidP="00B63296">
      <w:pPr>
        <w:snapToGrid w:val="0"/>
        <w:spacing w:after="0"/>
        <w:jc w:val="both"/>
        <w:rPr>
          <w:b/>
          <w:sz w:val="12"/>
          <w:szCs w:val="12"/>
        </w:rPr>
      </w:pPr>
    </w:p>
    <w:p w14:paraId="4F3EF55B" w14:textId="48C66F14" w:rsidR="00516026" w:rsidRPr="001A14A4" w:rsidRDefault="00393587" w:rsidP="00516026">
      <w:pPr>
        <w:snapToGrid w:val="0"/>
        <w:spacing w:after="0"/>
        <w:jc w:val="both"/>
        <w:rPr>
          <w:b/>
        </w:rPr>
      </w:pPr>
      <w:r w:rsidRPr="001A14A4">
        <w:rPr>
          <w:b/>
        </w:rPr>
        <w:t xml:space="preserve">7. Αιτήσεις σίτισης </w:t>
      </w:r>
    </w:p>
    <w:p w14:paraId="3D16B9DF" w14:textId="3A69DEC5" w:rsidR="00B9481C" w:rsidRPr="001A14A4" w:rsidRDefault="00393587" w:rsidP="00654F3C">
      <w:pPr>
        <w:snapToGrid w:val="0"/>
        <w:spacing w:after="0"/>
        <w:jc w:val="both"/>
      </w:pPr>
      <w:r w:rsidRPr="001A14A4">
        <w:t xml:space="preserve">Ο αριθμός των αιτήσεων που έχουν υποβληθεί </w:t>
      </w:r>
      <w:r w:rsidR="00135A52" w:rsidRPr="001A14A4">
        <w:t xml:space="preserve">έως τώρα για το </w:t>
      </w:r>
      <w:proofErr w:type="spellStart"/>
      <w:r w:rsidR="00135A52" w:rsidRPr="001A14A4">
        <w:t>ακαδ</w:t>
      </w:r>
      <w:proofErr w:type="spellEnd"/>
      <w:r w:rsidR="00135A52" w:rsidRPr="001A14A4">
        <w:t xml:space="preserve">. έτος 2023-2024 </w:t>
      </w:r>
      <w:r w:rsidRPr="001A14A4">
        <w:t>για τη σίτιση των φοιτητών/τριών του ΔΠΘ είναι πολ</w:t>
      </w:r>
      <w:r w:rsidR="00135A52" w:rsidRPr="001A14A4">
        <w:t xml:space="preserve">ύ μικρός σε σχέση με τις προηγούμενες χρονιές. Επισημαίνεται ότι η υποβολή των αιτήσεων εκ μέρους των φοιτητών/τριών είναι αναγκαία προϋπόθεση έτσι ώστε να εξασφαλίζεται </w:t>
      </w:r>
      <w:r w:rsidR="00B43B88">
        <w:t xml:space="preserve">και </w:t>
      </w:r>
      <w:r w:rsidR="00135A52" w:rsidRPr="001A14A4">
        <w:t>η χρηματοδότηση και να συνεχίζεται απρόσκοπτα η σίτιση των φοιτητών/τριών.</w:t>
      </w:r>
    </w:p>
    <w:p w14:paraId="2F858EA1" w14:textId="77777777" w:rsidR="00B63296" w:rsidRPr="00B63296" w:rsidRDefault="00B63296" w:rsidP="00B63296">
      <w:pPr>
        <w:snapToGrid w:val="0"/>
        <w:spacing w:after="0"/>
        <w:jc w:val="both"/>
        <w:rPr>
          <w:b/>
          <w:sz w:val="12"/>
          <w:szCs w:val="12"/>
        </w:rPr>
      </w:pPr>
    </w:p>
    <w:p w14:paraId="6D25AD59" w14:textId="3D52834E" w:rsidR="00135A52" w:rsidRPr="001A14A4" w:rsidRDefault="00135A52" w:rsidP="00135A52">
      <w:pPr>
        <w:snapToGrid w:val="0"/>
        <w:spacing w:after="0"/>
        <w:jc w:val="both"/>
      </w:pPr>
      <w:r w:rsidRPr="001A14A4">
        <w:t>Από την Πρυτανεία του ΔΠΘ</w:t>
      </w:r>
    </w:p>
    <w:p w14:paraId="4912B139" w14:textId="77777777" w:rsidR="00135A52" w:rsidRPr="001A14A4" w:rsidRDefault="00135A52" w:rsidP="00516026">
      <w:pPr>
        <w:spacing w:after="0" w:line="240" w:lineRule="auto"/>
        <w:jc w:val="both"/>
        <w:rPr>
          <w:color w:val="000000"/>
          <w:sz w:val="24"/>
        </w:rPr>
      </w:pPr>
    </w:p>
    <w:sectPr w:rsidR="00135A52" w:rsidRPr="001A14A4" w:rsidSect="0053473E">
      <w:pgSz w:w="11906" w:h="16838"/>
      <w:pgMar w:top="127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DD"/>
    <w:rsid w:val="00060027"/>
    <w:rsid w:val="00084CC8"/>
    <w:rsid w:val="000924F6"/>
    <w:rsid w:val="00097834"/>
    <w:rsid w:val="000B0F8C"/>
    <w:rsid w:val="000C3BA2"/>
    <w:rsid w:val="00106F41"/>
    <w:rsid w:val="00135A52"/>
    <w:rsid w:val="001460A2"/>
    <w:rsid w:val="00167E06"/>
    <w:rsid w:val="001A14A4"/>
    <w:rsid w:val="001C3787"/>
    <w:rsid w:val="001D5A27"/>
    <w:rsid w:val="002145C5"/>
    <w:rsid w:val="002226AF"/>
    <w:rsid w:val="00225DB7"/>
    <w:rsid w:val="00274962"/>
    <w:rsid w:val="002B5D3D"/>
    <w:rsid w:val="002B6693"/>
    <w:rsid w:val="002F79DD"/>
    <w:rsid w:val="00305FA8"/>
    <w:rsid w:val="003354EC"/>
    <w:rsid w:val="003627FB"/>
    <w:rsid w:val="003674C3"/>
    <w:rsid w:val="0038055F"/>
    <w:rsid w:val="00385E41"/>
    <w:rsid w:val="00393587"/>
    <w:rsid w:val="00396EB7"/>
    <w:rsid w:val="0040307B"/>
    <w:rsid w:val="0040611C"/>
    <w:rsid w:val="004578A0"/>
    <w:rsid w:val="00484554"/>
    <w:rsid w:val="004F775D"/>
    <w:rsid w:val="00516026"/>
    <w:rsid w:val="005226F7"/>
    <w:rsid w:val="0053473E"/>
    <w:rsid w:val="00534DC4"/>
    <w:rsid w:val="005359BD"/>
    <w:rsid w:val="00536574"/>
    <w:rsid w:val="0056647D"/>
    <w:rsid w:val="005719D3"/>
    <w:rsid w:val="005939EF"/>
    <w:rsid w:val="0059644F"/>
    <w:rsid w:val="005E6220"/>
    <w:rsid w:val="00606B80"/>
    <w:rsid w:val="00635F44"/>
    <w:rsid w:val="00654F3C"/>
    <w:rsid w:val="00680F4C"/>
    <w:rsid w:val="006B7DCB"/>
    <w:rsid w:val="006C5617"/>
    <w:rsid w:val="006D1B27"/>
    <w:rsid w:val="007114E0"/>
    <w:rsid w:val="00716F41"/>
    <w:rsid w:val="00754489"/>
    <w:rsid w:val="00775428"/>
    <w:rsid w:val="00827B88"/>
    <w:rsid w:val="008375B0"/>
    <w:rsid w:val="008542F0"/>
    <w:rsid w:val="00882E0E"/>
    <w:rsid w:val="008B726F"/>
    <w:rsid w:val="008D4EBA"/>
    <w:rsid w:val="008F0578"/>
    <w:rsid w:val="009114EC"/>
    <w:rsid w:val="009259DF"/>
    <w:rsid w:val="009430DC"/>
    <w:rsid w:val="00944C67"/>
    <w:rsid w:val="009B2BD8"/>
    <w:rsid w:val="009C4C60"/>
    <w:rsid w:val="009C7AA0"/>
    <w:rsid w:val="009D5510"/>
    <w:rsid w:val="00A03A13"/>
    <w:rsid w:val="00A461D5"/>
    <w:rsid w:val="00A46E8B"/>
    <w:rsid w:val="00A536AA"/>
    <w:rsid w:val="00A81D44"/>
    <w:rsid w:val="00AF5AF4"/>
    <w:rsid w:val="00B047D7"/>
    <w:rsid w:val="00B32247"/>
    <w:rsid w:val="00B34048"/>
    <w:rsid w:val="00B43B88"/>
    <w:rsid w:val="00B63296"/>
    <w:rsid w:val="00B6530E"/>
    <w:rsid w:val="00B76A30"/>
    <w:rsid w:val="00B87059"/>
    <w:rsid w:val="00B9481C"/>
    <w:rsid w:val="00BB64C7"/>
    <w:rsid w:val="00BB68BD"/>
    <w:rsid w:val="00BE5DBB"/>
    <w:rsid w:val="00C06CEB"/>
    <w:rsid w:val="00C35D19"/>
    <w:rsid w:val="00C62460"/>
    <w:rsid w:val="00C725C1"/>
    <w:rsid w:val="00C87EBC"/>
    <w:rsid w:val="00CB7C01"/>
    <w:rsid w:val="00CE143A"/>
    <w:rsid w:val="00D30C8A"/>
    <w:rsid w:val="00D4397C"/>
    <w:rsid w:val="00D513EB"/>
    <w:rsid w:val="00D5561C"/>
    <w:rsid w:val="00D6424E"/>
    <w:rsid w:val="00D93F48"/>
    <w:rsid w:val="00DB2D38"/>
    <w:rsid w:val="00DC6671"/>
    <w:rsid w:val="00E30221"/>
    <w:rsid w:val="00E35820"/>
    <w:rsid w:val="00E630D0"/>
    <w:rsid w:val="00E91940"/>
    <w:rsid w:val="00EE0E0D"/>
    <w:rsid w:val="00F14CFA"/>
    <w:rsid w:val="00F426CF"/>
    <w:rsid w:val="00F76C15"/>
    <w:rsid w:val="00F85358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E556"/>
  <w15:chartTrackingRefBased/>
  <w15:docId w15:val="{6D33AF3D-39E6-44F7-A717-47692D58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5561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82E0E"/>
    <w:rPr>
      <w:color w:val="605E5C"/>
      <w:shd w:val="clear" w:color="auto" w:fill="E1DFDD"/>
    </w:rPr>
  </w:style>
  <w:style w:type="table" w:styleId="a3">
    <w:name w:val="Table Grid"/>
    <w:basedOn w:val="a1"/>
    <w:uiPriority w:val="39"/>
    <w:rsid w:val="0021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84CC8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1A14A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A14A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1A14A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1A14A4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A14A4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1A14A4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A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A1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47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Ευαγγελινή Δαρδαγάνη</dc:creator>
  <cp:keywords/>
  <dc:description/>
  <cp:lastModifiedBy>Ελένη Τζελέπη</cp:lastModifiedBy>
  <cp:revision>2</cp:revision>
  <dcterms:created xsi:type="dcterms:W3CDTF">2023-11-06T06:37:00Z</dcterms:created>
  <dcterms:modified xsi:type="dcterms:W3CDTF">2023-11-06T06:37:00Z</dcterms:modified>
</cp:coreProperties>
</file>